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64831" w14:textId="77777777" w:rsidR="007A4C3E" w:rsidRPr="00870912" w:rsidRDefault="007A4C3E" w:rsidP="007A4C3E">
      <w:pPr>
        <w:rPr>
          <w:sz w:val="22"/>
          <w:szCs w:val="22"/>
        </w:rPr>
      </w:pPr>
      <w:r>
        <w:rPr>
          <w:sz w:val="22"/>
          <w:szCs w:val="22"/>
        </w:rPr>
        <w:t>Cylindrical dual gravity drained tanks with a constant cross sectional area (</w:t>
      </w:r>
      <w:r w:rsidRPr="00E87368">
        <w:rPr>
          <w:i/>
          <w:sz w:val="22"/>
          <w:szCs w:val="22"/>
        </w:rPr>
        <w:t>A</w:t>
      </w:r>
      <w:r w:rsidRPr="00E87368">
        <w:rPr>
          <w:i/>
          <w:sz w:val="22"/>
          <w:szCs w:val="22"/>
          <w:vertAlign w:val="subscript"/>
        </w:rPr>
        <w:t>c</w:t>
      </w:r>
      <w:r>
        <w:rPr>
          <w:sz w:val="22"/>
          <w:szCs w:val="22"/>
        </w:rPr>
        <w:t xml:space="preserve">=2 </w:t>
      </w:r>
      <w:r w:rsidRPr="00E87368">
        <w:rPr>
          <w:i/>
          <w:sz w:val="22"/>
          <w:szCs w:val="22"/>
        </w:rPr>
        <w:t>m</w:t>
      </w:r>
      <w:r w:rsidRPr="00E87368">
        <w:rPr>
          <w:i/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) and maximum height of 1 </w:t>
      </w:r>
      <w:r w:rsidRPr="00B35320">
        <w:rPr>
          <w:i/>
          <w:sz w:val="22"/>
          <w:szCs w:val="22"/>
        </w:rPr>
        <w:t>m</w:t>
      </w:r>
      <w:r>
        <w:rPr>
          <w:sz w:val="22"/>
          <w:szCs w:val="22"/>
        </w:rPr>
        <w:t xml:space="preserve">. If the tank overfills, the excess fluid is lost. There is an inlet flow </w:t>
      </w:r>
      <w:proofErr w:type="spellStart"/>
      <w:proofErr w:type="gramStart"/>
      <w:r w:rsidRPr="00870912">
        <w:rPr>
          <w:i/>
          <w:sz w:val="22"/>
          <w:szCs w:val="22"/>
        </w:rPr>
        <w:t>q</w:t>
      </w:r>
      <w:r w:rsidRPr="00870912">
        <w:rPr>
          <w:i/>
          <w:sz w:val="22"/>
          <w:szCs w:val="22"/>
          <w:vertAlign w:val="subscript"/>
        </w:rPr>
        <w:t>in</w:t>
      </w:r>
      <w:proofErr w:type="spellEnd"/>
      <w:proofErr w:type="gramEnd"/>
      <w:r>
        <w:rPr>
          <w:sz w:val="22"/>
          <w:szCs w:val="22"/>
        </w:rPr>
        <w:t xml:space="preserve">, an intermediate outlet flow from tank 1 to tank 2 as </w:t>
      </w:r>
      <w:r w:rsidRPr="00870912">
        <w:rPr>
          <w:i/>
          <w:sz w:val="22"/>
          <w:szCs w:val="22"/>
        </w:rPr>
        <w:t>q</w:t>
      </w:r>
      <w:r w:rsidRPr="00870912">
        <w:rPr>
          <w:i/>
          <w:sz w:val="22"/>
          <w:szCs w:val="22"/>
          <w:vertAlign w:val="subscript"/>
        </w:rPr>
        <w:t>out1</w:t>
      </w:r>
      <w:r>
        <w:rPr>
          <w:sz w:val="22"/>
          <w:szCs w:val="22"/>
        </w:rPr>
        <w:t xml:space="preserve">, and a final outlet flow as </w:t>
      </w:r>
      <w:r w:rsidRPr="00870912">
        <w:rPr>
          <w:i/>
          <w:sz w:val="22"/>
          <w:szCs w:val="22"/>
        </w:rPr>
        <w:t>q</w:t>
      </w:r>
      <w:r w:rsidRPr="00870912">
        <w:rPr>
          <w:i/>
          <w:sz w:val="22"/>
          <w:szCs w:val="22"/>
          <w:vertAlign w:val="subscript"/>
        </w:rPr>
        <w:t>out2</w:t>
      </w:r>
      <w:r>
        <w:rPr>
          <w:sz w:val="22"/>
          <w:szCs w:val="22"/>
        </w:rPr>
        <w:t xml:space="preserve">. All flows are in units of </w:t>
      </w:r>
      <w:r w:rsidRPr="00E87368">
        <w:rPr>
          <w:i/>
          <w:sz w:val="22"/>
          <w:szCs w:val="22"/>
        </w:rPr>
        <w:t>m</w:t>
      </w:r>
      <w:r w:rsidRPr="00E87368">
        <w:rPr>
          <w:i/>
          <w:sz w:val="22"/>
          <w:szCs w:val="22"/>
          <w:vertAlign w:val="superscript"/>
        </w:rPr>
        <w:t>3</w:t>
      </w:r>
      <w:r w:rsidRPr="00E87368">
        <w:rPr>
          <w:i/>
          <w:sz w:val="22"/>
          <w:szCs w:val="22"/>
        </w:rPr>
        <w:t>/</w:t>
      </w:r>
      <w:proofErr w:type="spellStart"/>
      <w:r w:rsidRPr="00E87368">
        <w:rPr>
          <w:i/>
          <w:sz w:val="22"/>
          <w:szCs w:val="22"/>
        </w:rPr>
        <w:t>hr</w:t>
      </w:r>
      <w:proofErr w:type="spellEnd"/>
      <w:r>
        <w:rPr>
          <w:sz w:val="22"/>
          <w:szCs w:val="22"/>
        </w:rPr>
        <w:t xml:space="preserve"> and heights are reported in units of </w:t>
      </w:r>
      <w:r w:rsidRPr="00E87368">
        <w:rPr>
          <w:i/>
          <w:sz w:val="22"/>
          <w:szCs w:val="22"/>
        </w:rPr>
        <w:t>m</w:t>
      </w:r>
      <w:r>
        <w:rPr>
          <w:sz w:val="22"/>
          <w:szCs w:val="22"/>
        </w:rPr>
        <w:t>.</w:t>
      </w:r>
    </w:p>
    <w:p w14:paraId="17AC5140" w14:textId="77777777" w:rsidR="007A4C3E" w:rsidRDefault="007A4C3E" w:rsidP="007A4C3E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E9AE6C2" wp14:editId="279386FB">
            <wp:simplePos x="0" y="0"/>
            <wp:positionH relativeFrom="column">
              <wp:posOffset>0</wp:posOffset>
            </wp:positionH>
            <wp:positionV relativeFrom="paragraph">
              <wp:posOffset>1317</wp:posOffset>
            </wp:positionV>
            <wp:extent cx="1491971" cy="2479539"/>
            <wp:effectExtent l="0" t="0" r="0" b="0"/>
            <wp:wrapTight wrapText="bothSides">
              <wp:wrapPolygon edited="0">
                <wp:start x="0" y="0"/>
                <wp:lineTo x="0" y="21412"/>
                <wp:lineTo x="21241" y="21412"/>
                <wp:lineTo x="2124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1971" cy="24795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>A mass balance on each tank is used to derive the following equations that relate inlet flow to the height of the tanks.</w:t>
      </w:r>
    </w:p>
    <w:p w14:paraId="48B5C8BC" w14:textId="77777777" w:rsidR="007A4C3E" w:rsidRDefault="00A95B5A" w:rsidP="007A4C3E">
      <w:pPr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c</m:t>
            </m:r>
          </m:sub>
        </m:sSub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2"/>
                <w:szCs w:val="22"/>
              </w:rPr>
              <m:t>dt</m:t>
            </m:r>
          </m:den>
        </m:f>
        <m:r>
          <w:rPr>
            <w:rFonts w:ascii="Cambria Math" w:hAns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in</m:t>
            </m:r>
          </m:sub>
        </m:sSub>
        <m:r>
          <w:rPr>
            <w:rFonts w:ascii="Cambria Math" w:hAnsi="Cambria Math"/>
            <w:sz w:val="22"/>
            <w:szCs w:val="22"/>
          </w:rPr>
          <m:t>-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out1</m:t>
            </m:r>
          </m:sub>
        </m:sSub>
      </m:oMath>
      <w:r w:rsidR="007A4C3E">
        <w:rPr>
          <w:rFonts w:eastAsiaTheme="minorEastAsia"/>
          <w:sz w:val="22"/>
          <w:szCs w:val="22"/>
        </w:rPr>
        <w:tab/>
      </w:r>
      <w:r w:rsidR="007A4C3E">
        <w:rPr>
          <w:rFonts w:eastAsiaTheme="minorEastAsia"/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c</m:t>
            </m:r>
          </m:sub>
        </m:sSub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2"/>
                <w:szCs w:val="22"/>
              </w:rPr>
              <m:t>dt</m:t>
            </m:r>
          </m:den>
        </m:f>
        <m:r>
          <w:rPr>
            <w:rFonts w:ascii="Cambria Math" w:hAns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out1</m:t>
            </m:r>
          </m:sub>
        </m:sSub>
        <m:r>
          <w:rPr>
            <w:rFonts w:ascii="Cambria Math" w:hAnsi="Cambria Math"/>
            <w:sz w:val="22"/>
            <w:szCs w:val="22"/>
          </w:rPr>
          <m:t>-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out2</m:t>
            </m:r>
          </m:sub>
        </m:sSub>
      </m:oMath>
    </w:p>
    <w:p w14:paraId="00E2AEE4" w14:textId="77777777" w:rsidR="007A4C3E" w:rsidRDefault="007A4C3E" w:rsidP="007A4C3E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The outlet flow rate for each tank depends on the height in the tank according to Be</w:t>
      </w:r>
      <w:bookmarkStart w:id="0" w:name="_GoBack"/>
      <w:bookmarkEnd w:id="0"/>
      <w:r>
        <w:rPr>
          <w:rFonts w:eastAsiaTheme="minorEastAsia"/>
          <w:sz w:val="22"/>
          <w:szCs w:val="22"/>
        </w:rPr>
        <w:t>rnoulli’s equation for incompressible fluids as:</w:t>
      </w:r>
    </w:p>
    <w:p w14:paraId="135C0519" w14:textId="77777777" w:rsidR="007A4C3E" w:rsidRDefault="00A95B5A" w:rsidP="007A4C3E">
      <w:pPr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out1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1</m:t>
                </m:r>
              </m:sub>
            </m:sSub>
          </m:e>
        </m:rad>
      </m:oMath>
      <w:r w:rsidR="007A4C3E">
        <w:rPr>
          <w:rFonts w:eastAsiaTheme="minorEastAsia"/>
          <w:sz w:val="22"/>
          <w:szCs w:val="22"/>
        </w:rPr>
        <w:tab/>
      </w:r>
      <w:r w:rsidR="007A4C3E">
        <w:rPr>
          <w:rFonts w:eastAsiaTheme="minorEastAsia"/>
          <w:sz w:val="22"/>
          <w:szCs w:val="22"/>
        </w:rPr>
        <w:tab/>
      </w:r>
      <w:r w:rsidR="007A4C3E">
        <w:rPr>
          <w:rFonts w:eastAsiaTheme="minorEastAsia"/>
          <w:sz w:val="22"/>
          <w:szCs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out2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b>
            </m:sSub>
          </m:e>
        </m:rad>
      </m:oMath>
    </w:p>
    <w:p w14:paraId="4C3C4043" w14:textId="45B80EDA" w:rsidR="007A4C3E" w:rsidRDefault="007A4C3E" w:rsidP="007A4C3E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The tanks are initially empty when the inlet to tank 1 starts to flow at a rate of 0.5 m</w:t>
      </w:r>
      <w:r w:rsidRPr="005C409A">
        <w:rPr>
          <w:rFonts w:eastAsiaTheme="minorEastAsia"/>
          <w:sz w:val="22"/>
          <w:szCs w:val="22"/>
          <w:vertAlign w:val="superscript"/>
        </w:rPr>
        <w:t>3</w:t>
      </w:r>
      <w:r w:rsidR="00A95B5A">
        <w:rPr>
          <w:rFonts w:eastAsiaTheme="minorEastAsia"/>
          <w:sz w:val="22"/>
          <w:szCs w:val="22"/>
        </w:rPr>
        <w:t>/hr.</w:t>
      </w:r>
    </w:p>
    <w:p w14:paraId="3E7A27D0" w14:textId="77777777" w:rsidR="007A4C3E" w:rsidRDefault="007A4C3E" w:rsidP="007A4C3E">
      <w:pPr>
        <w:rPr>
          <w:rFonts w:eastAsiaTheme="minorEastAsia"/>
          <w:sz w:val="22"/>
          <w:szCs w:val="22"/>
        </w:rPr>
      </w:pPr>
    </w:p>
    <w:p w14:paraId="6F563412" w14:textId="77777777" w:rsidR="007A4C3E" w:rsidRPr="00E14DC7" w:rsidRDefault="007A4C3E" w:rsidP="007A4C3E">
      <w:pPr>
        <w:rPr>
          <w:rFonts w:eastAsiaTheme="minorEastAsia"/>
          <w:sz w:val="22"/>
          <w:szCs w:val="22"/>
        </w:rPr>
      </w:pPr>
    </w:p>
    <w:p w14:paraId="1D8FDD77" w14:textId="4B528EEB" w:rsidR="007A4C3E" w:rsidRDefault="007A4C3E" w:rsidP="00A95B5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A57400">
        <w:rPr>
          <w:b/>
          <w:sz w:val="22"/>
          <w:szCs w:val="22"/>
        </w:rPr>
        <w:t>Solve</w:t>
      </w:r>
      <w:r w:rsidRPr="00655DCB">
        <w:rPr>
          <w:sz w:val="22"/>
          <w:szCs w:val="22"/>
        </w:rPr>
        <w:t xml:space="preserve"> for the </w:t>
      </w:r>
      <w:r>
        <w:rPr>
          <w:sz w:val="22"/>
          <w:szCs w:val="22"/>
        </w:rPr>
        <w:t>heights (</w:t>
      </w:r>
      <w:r w:rsidRPr="008F54A2">
        <w:rPr>
          <w:i/>
          <w:sz w:val="22"/>
          <w:szCs w:val="22"/>
        </w:rPr>
        <w:t>h</w:t>
      </w:r>
      <w:r w:rsidRPr="008F54A2">
        <w:rPr>
          <w:i/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and </w:t>
      </w:r>
      <w:r w:rsidRPr="008F54A2">
        <w:rPr>
          <w:i/>
          <w:sz w:val="22"/>
          <w:szCs w:val="22"/>
        </w:rPr>
        <w:t>h</w:t>
      </w:r>
      <w:r w:rsidRPr="008F54A2">
        <w:rPr>
          <w:i/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) </w:t>
      </w:r>
      <w:r w:rsidRPr="00655DCB">
        <w:rPr>
          <w:sz w:val="22"/>
          <w:szCs w:val="22"/>
        </w:rPr>
        <w:t>as functions of time</w:t>
      </w:r>
      <w:r>
        <w:rPr>
          <w:sz w:val="22"/>
          <w:szCs w:val="22"/>
        </w:rPr>
        <w:t xml:space="preserve"> with </w:t>
      </w:r>
      <w:r w:rsidRPr="008F54A2">
        <w:rPr>
          <w:i/>
          <w:sz w:val="22"/>
          <w:szCs w:val="22"/>
        </w:rPr>
        <w:t>c</w:t>
      </w:r>
      <w:r w:rsidRPr="008F54A2">
        <w:rPr>
          <w:i/>
          <w:sz w:val="22"/>
          <w:szCs w:val="22"/>
          <w:vertAlign w:val="subscript"/>
        </w:rPr>
        <w:t>1</w:t>
      </w:r>
      <w:r w:rsidR="00A95B5A">
        <w:rPr>
          <w:sz w:val="22"/>
          <w:szCs w:val="22"/>
        </w:rPr>
        <w:t>=0.13</w:t>
      </w:r>
      <w:r>
        <w:rPr>
          <w:sz w:val="22"/>
          <w:szCs w:val="22"/>
        </w:rPr>
        <w:t xml:space="preserve"> and </w:t>
      </w:r>
      <w:r w:rsidRPr="008F54A2">
        <w:rPr>
          <w:i/>
          <w:sz w:val="22"/>
          <w:szCs w:val="22"/>
        </w:rPr>
        <w:t>c</w:t>
      </w:r>
      <w:r w:rsidRPr="008F54A2">
        <w:rPr>
          <w:i/>
          <w:sz w:val="22"/>
          <w:szCs w:val="22"/>
          <w:vertAlign w:val="subscript"/>
        </w:rPr>
        <w:t>2</w:t>
      </w:r>
      <w:r w:rsidR="00A95B5A">
        <w:rPr>
          <w:sz w:val="22"/>
          <w:szCs w:val="22"/>
        </w:rPr>
        <w:t>=0.20</w:t>
      </w:r>
      <w:r w:rsidRPr="00655DCB">
        <w:rPr>
          <w:sz w:val="22"/>
          <w:szCs w:val="22"/>
        </w:rPr>
        <w:t xml:space="preserve">. Use a </w:t>
      </w:r>
      <w:proofErr w:type="spellStart"/>
      <w:r w:rsidRPr="00655DCB">
        <w:rPr>
          <w:sz w:val="22"/>
          <w:szCs w:val="22"/>
        </w:rPr>
        <w:t>timestep</w:t>
      </w:r>
      <w:proofErr w:type="spellEnd"/>
      <w:r w:rsidRPr="00655DCB">
        <w:rPr>
          <w:sz w:val="22"/>
          <w:szCs w:val="22"/>
        </w:rPr>
        <w:t xml:space="preserve"> size of </w:t>
      </w:r>
      <w:proofErr w:type="spellStart"/>
      <w:proofErr w:type="gramStart"/>
      <w:r>
        <w:rPr>
          <w:b/>
          <w:sz w:val="22"/>
          <w:szCs w:val="22"/>
        </w:rPr>
        <w:t>dt</w:t>
      </w:r>
      <w:proofErr w:type="spellEnd"/>
      <w:r>
        <w:rPr>
          <w:b/>
          <w:sz w:val="22"/>
          <w:szCs w:val="22"/>
        </w:rPr>
        <w:t>=</w:t>
      </w:r>
      <w:proofErr w:type="gramEnd"/>
      <w:r>
        <w:rPr>
          <w:b/>
          <w:sz w:val="22"/>
          <w:szCs w:val="22"/>
        </w:rPr>
        <w:t xml:space="preserve">0.5 </w:t>
      </w:r>
      <w:proofErr w:type="spellStart"/>
      <w:r w:rsidRPr="008F54A2">
        <w:rPr>
          <w:b/>
          <w:i/>
          <w:sz w:val="22"/>
          <w:szCs w:val="22"/>
        </w:rPr>
        <w:t>hr</w:t>
      </w:r>
      <w:proofErr w:type="spellEnd"/>
      <w:r w:rsidRPr="00655DCB">
        <w:rPr>
          <w:sz w:val="22"/>
          <w:szCs w:val="22"/>
        </w:rPr>
        <w:t xml:space="preserve"> and solve to </w:t>
      </w:r>
      <w:r>
        <w:rPr>
          <w:b/>
          <w:sz w:val="22"/>
          <w:szCs w:val="22"/>
        </w:rPr>
        <w:t>t=10 hr</w:t>
      </w:r>
      <w:r w:rsidR="00A95B5A">
        <w:rPr>
          <w:sz w:val="22"/>
          <w:szCs w:val="22"/>
        </w:rPr>
        <w:t xml:space="preserve">. </w:t>
      </w:r>
    </w:p>
    <w:p w14:paraId="39419E98" w14:textId="77777777" w:rsidR="00A95B5A" w:rsidRPr="00A95B5A" w:rsidRDefault="00A95B5A" w:rsidP="00A95B5A">
      <w:pPr>
        <w:pStyle w:val="ListParagraph"/>
        <w:rPr>
          <w:sz w:val="22"/>
          <w:szCs w:val="22"/>
        </w:rPr>
      </w:pPr>
    </w:p>
    <w:p w14:paraId="087C22DA" w14:textId="50CCE6C8" w:rsidR="00A95B5A" w:rsidRPr="00A95B5A" w:rsidRDefault="007A4C3E" w:rsidP="00A95B5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A57400">
        <w:rPr>
          <w:b/>
          <w:sz w:val="22"/>
          <w:szCs w:val="22"/>
        </w:rPr>
        <w:t xml:space="preserve">Plot </w:t>
      </w:r>
      <w:r w:rsidRPr="00655DCB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predicted heights </w:t>
      </w:r>
      <w:r w:rsidRPr="008F54A2">
        <w:rPr>
          <w:i/>
          <w:sz w:val="22"/>
          <w:szCs w:val="22"/>
        </w:rPr>
        <w:t>h</w:t>
      </w:r>
      <w:r w:rsidRPr="008F54A2">
        <w:rPr>
          <w:i/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and </w:t>
      </w:r>
      <w:r w:rsidRPr="008F54A2">
        <w:rPr>
          <w:i/>
          <w:sz w:val="22"/>
          <w:szCs w:val="22"/>
        </w:rPr>
        <w:t>h</w:t>
      </w:r>
      <w:r w:rsidRPr="008F54A2">
        <w:rPr>
          <w:i/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and the measured height </w:t>
      </w:r>
      <w:r w:rsidRPr="008F54A2">
        <w:rPr>
          <w:i/>
          <w:sz w:val="22"/>
          <w:szCs w:val="22"/>
        </w:rPr>
        <w:t>h</w:t>
      </w:r>
      <w:r w:rsidRPr="008F54A2">
        <w:rPr>
          <w:i/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</w:t>
      </w:r>
      <w:r w:rsidRPr="00655DCB">
        <w:rPr>
          <w:sz w:val="22"/>
          <w:szCs w:val="22"/>
        </w:rPr>
        <w:t>as functions of time on the same plot.</w:t>
      </w:r>
      <w:r>
        <w:rPr>
          <w:sz w:val="22"/>
          <w:szCs w:val="22"/>
        </w:rPr>
        <w:t xml:space="preserve">  Label the axes as "time (</w:t>
      </w:r>
      <w:proofErr w:type="spellStart"/>
      <w:r>
        <w:rPr>
          <w:sz w:val="22"/>
          <w:szCs w:val="22"/>
        </w:rPr>
        <w:t>hr</w:t>
      </w:r>
      <w:proofErr w:type="spellEnd"/>
      <w:r w:rsidRPr="00655DCB">
        <w:rPr>
          <w:sz w:val="22"/>
          <w:szCs w:val="22"/>
        </w:rPr>
        <w:t xml:space="preserve">)" and </w:t>
      </w:r>
      <w:r>
        <w:rPr>
          <w:sz w:val="22"/>
          <w:szCs w:val="22"/>
        </w:rPr>
        <w:t>“height</w:t>
      </w:r>
      <w:r w:rsidRPr="00655DCB">
        <w:rPr>
          <w:sz w:val="22"/>
          <w:szCs w:val="22"/>
        </w:rPr>
        <w:t xml:space="preserve"> (</w:t>
      </w:r>
      <w:r>
        <w:rPr>
          <w:sz w:val="22"/>
          <w:szCs w:val="22"/>
        </w:rPr>
        <w:t>m</w:t>
      </w:r>
      <w:r w:rsidRPr="00655DCB">
        <w:rPr>
          <w:sz w:val="22"/>
          <w:szCs w:val="22"/>
        </w:rPr>
        <w:t>)</w:t>
      </w:r>
      <w:r>
        <w:rPr>
          <w:sz w:val="22"/>
          <w:szCs w:val="22"/>
        </w:rPr>
        <w:t>”</w:t>
      </w:r>
      <w:r w:rsidRPr="00655DCB">
        <w:rPr>
          <w:sz w:val="22"/>
          <w:szCs w:val="22"/>
        </w:rPr>
        <w:t>.</w:t>
      </w:r>
    </w:p>
    <w:p w14:paraId="256E032A" w14:textId="2405E23A" w:rsidR="00A95B5A" w:rsidRPr="00A95B5A" w:rsidRDefault="00A95B5A" w:rsidP="00A95B5A">
      <w:pPr>
        <w:rPr>
          <w:sz w:val="22"/>
          <w:szCs w:val="22"/>
        </w:rPr>
      </w:pPr>
      <w:r>
        <w:rPr>
          <w:sz w:val="22"/>
          <w:szCs w:val="22"/>
        </w:rPr>
        <w:t xml:space="preserve">Hint: use an explicit Euler's equation applied to each </w:t>
      </w:r>
      <w:r w:rsidRPr="008F54A2">
        <w:rPr>
          <w:i/>
          <w:sz w:val="22"/>
          <w:szCs w:val="22"/>
        </w:rPr>
        <w:t>dh/</w:t>
      </w:r>
      <w:proofErr w:type="spellStart"/>
      <w:r w:rsidRPr="008F54A2">
        <w:rPr>
          <w:i/>
          <w:sz w:val="22"/>
          <w:szCs w:val="22"/>
        </w:rPr>
        <w:t>dt</w:t>
      </w:r>
      <w:proofErr w:type="spellEnd"/>
      <w:r>
        <w:rPr>
          <w:sz w:val="22"/>
          <w:szCs w:val="22"/>
        </w:rPr>
        <w:t xml:space="preserve"> above: </w:t>
      </w:r>
      <w:r w:rsidRPr="008F54A2">
        <w:rPr>
          <w:i/>
          <w:sz w:val="22"/>
          <w:szCs w:val="22"/>
        </w:rPr>
        <w:t>dh/</w:t>
      </w:r>
      <w:proofErr w:type="spellStart"/>
      <w:r w:rsidRPr="008F54A2">
        <w:rPr>
          <w:i/>
          <w:sz w:val="22"/>
          <w:szCs w:val="22"/>
        </w:rPr>
        <w:t>dt</w:t>
      </w:r>
      <w:proofErr w:type="spellEnd"/>
      <w:r>
        <w:rPr>
          <w:i/>
          <w:sz w:val="22"/>
          <w:szCs w:val="22"/>
        </w:rPr>
        <w:t xml:space="preserve"> = f(</w:t>
      </w:r>
      <w:proofErr w:type="spellStart"/>
      <w:r>
        <w:rPr>
          <w:i/>
          <w:sz w:val="22"/>
          <w:szCs w:val="22"/>
        </w:rPr>
        <w:t>h,t</w:t>
      </w:r>
      <w:proofErr w:type="spellEnd"/>
      <w:r>
        <w:rPr>
          <w:i/>
          <w:sz w:val="22"/>
          <w:szCs w:val="22"/>
        </w:rPr>
        <w:t>) -</w:t>
      </w:r>
      <w:r w:rsidRPr="008F54A2">
        <w:rPr>
          <w:i/>
          <w:sz w:val="22"/>
          <w:szCs w:val="22"/>
        </w:rPr>
        <w:t>&gt;</w:t>
      </w:r>
      <w:r>
        <w:rPr>
          <w:i/>
          <w:sz w:val="22"/>
          <w:szCs w:val="22"/>
        </w:rPr>
        <w:t xml:space="preserve"> h</w:t>
      </w:r>
      <w:r w:rsidRPr="008F54A2">
        <w:rPr>
          <w:i/>
          <w:sz w:val="22"/>
          <w:szCs w:val="22"/>
          <w:vertAlign w:val="subscript"/>
        </w:rPr>
        <w:t>n+1</w:t>
      </w:r>
      <w:r>
        <w:rPr>
          <w:i/>
          <w:sz w:val="22"/>
          <w:szCs w:val="22"/>
        </w:rPr>
        <w:t xml:space="preserve"> = </w:t>
      </w:r>
      <w:proofErr w:type="spellStart"/>
      <w:r>
        <w:rPr>
          <w:i/>
          <w:sz w:val="22"/>
          <w:szCs w:val="22"/>
        </w:rPr>
        <w:t>h</w:t>
      </w:r>
      <w:r w:rsidRPr="008F54A2">
        <w:rPr>
          <w:i/>
          <w:sz w:val="22"/>
          <w:szCs w:val="22"/>
          <w:vertAlign w:val="subscript"/>
        </w:rPr>
        <w:t>n</w:t>
      </w:r>
      <w:proofErr w:type="spellEnd"/>
      <w:r>
        <w:rPr>
          <w:i/>
          <w:sz w:val="22"/>
          <w:szCs w:val="22"/>
        </w:rPr>
        <w:t xml:space="preserve"> + </w:t>
      </w:r>
      <w:proofErr w:type="spellStart"/>
      <w:r>
        <w:rPr>
          <w:i/>
          <w:sz w:val="22"/>
          <w:szCs w:val="22"/>
        </w:rPr>
        <w:t>dt</w:t>
      </w:r>
      <w:proofErr w:type="spellEnd"/>
      <w:r>
        <w:rPr>
          <w:i/>
          <w:sz w:val="22"/>
          <w:szCs w:val="22"/>
        </w:rPr>
        <w:t>*f(</w:t>
      </w:r>
      <w:proofErr w:type="spellStart"/>
      <w:r>
        <w:rPr>
          <w:i/>
          <w:sz w:val="22"/>
          <w:szCs w:val="22"/>
        </w:rPr>
        <w:t>h</w:t>
      </w:r>
      <w:r w:rsidRPr="008F54A2">
        <w:rPr>
          <w:i/>
          <w:sz w:val="22"/>
          <w:szCs w:val="22"/>
          <w:vertAlign w:val="subscript"/>
        </w:rPr>
        <w:t>n</w:t>
      </w:r>
      <w:r w:rsidRPr="008F54A2">
        <w:rPr>
          <w:i/>
          <w:sz w:val="22"/>
          <w:szCs w:val="22"/>
        </w:rPr>
        <w:t>,</w:t>
      </w:r>
      <w:r>
        <w:rPr>
          <w:i/>
          <w:sz w:val="22"/>
          <w:szCs w:val="22"/>
        </w:rPr>
        <w:t>t</w:t>
      </w:r>
      <w:r w:rsidRPr="008F54A2">
        <w:rPr>
          <w:i/>
          <w:sz w:val="22"/>
          <w:szCs w:val="22"/>
          <w:vertAlign w:val="subscript"/>
        </w:rPr>
        <w:t>n</w:t>
      </w:r>
      <w:proofErr w:type="spellEnd"/>
      <w:r w:rsidRPr="008F54A2">
        <w:rPr>
          <w:i/>
          <w:sz w:val="22"/>
          <w:szCs w:val="22"/>
        </w:rPr>
        <w:t>)</w:t>
      </w:r>
      <w:r>
        <w:rPr>
          <w:sz w:val="22"/>
          <w:szCs w:val="22"/>
        </w:rPr>
        <w:t xml:space="preserve">. </w:t>
      </w:r>
      <w:r w:rsidRPr="00953872">
        <w:rPr>
          <w:sz w:val="22"/>
          <w:szCs w:val="22"/>
        </w:rPr>
        <w:t>Don’t forget to add an IF statement to check for overfill conditions such as =</w:t>
      </w:r>
      <w:proofErr w:type="gramStart"/>
      <w:r w:rsidRPr="00953872">
        <w:rPr>
          <w:sz w:val="22"/>
          <w:szCs w:val="22"/>
        </w:rPr>
        <w:t>IF(</w:t>
      </w:r>
      <w:proofErr w:type="gramEnd"/>
      <w:r w:rsidRPr="00953872">
        <w:rPr>
          <w:sz w:val="22"/>
          <w:szCs w:val="22"/>
        </w:rPr>
        <w:t>predicted height&gt;1.0,1.0,predicted height).</w:t>
      </w:r>
    </w:p>
    <w:sectPr w:rsidR="00A95B5A" w:rsidRPr="00A95B5A" w:rsidSect="00BA21C9">
      <w:pgSz w:w="12240" w:h="15840"/>
      <w:pgMar w:top="90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E6191"/>
    <w:multiLevelType w:val="hybridMultilevel"/>
    <w:tmpl w:val="7C3467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A3485"/>
    <w:multiLevelType w:val="hybridMultilevel"/>
    <w:tmpl w:val="316209C2"/>
    <w:lvl w:ilvl="0" w:tplc="41048A4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B46F3"/>
    <w:multiLevelType w:val="hybridMultilevel"/>
    <w:tmpl w:val="1D26B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60BA5"/>
    <w:multiLevelType w:val="hybridMultilevel"/>
    <w:tmpl w:val="617AED8C"/>
    <w:lvl w:ilvl="0" w:tplc="41048A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666D1"/>
    <w:multiLevelType w:val="hybridMultilevel"/>
    <w:tmpl w:val="617AED8C"/>
    <w:lvl w:ilvl="0" w:tplc="41048A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115A7"/>
    <w:multiLevelType w:val="hybridMultilevel"/>
    <w:tmpl w:val="DD5A7CE0"/>
    <w:lvl w:ilvl="0" w:tplc="7228FE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34EBC"/>
    <w:multiLevelType w:val="hybridMultilevel"/>
    <w:tmpl w:val="00AC35E8"/>
    <w:lvl w:ilvl="0" w:tplc="41048A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81CD8"/>
    <w:multiLevelType w:val="hybridMultilevel"/>
    <w:tmpl w:val="9CE809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037ED"/>
    <w:multiLevelType w:val="hybridMultilevel"/>
    <w:tmpl w:val="33BAB2D2"/>
    <w:lvl w:ilvl="0" w:tplc="41048A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F62BD"/>
    <w:multiLevelType w:val="hybridMultilevel"/>
    <w:tmpl w:val="FEA21E74"/>
    <w:lvl w:ilvl="0" w:tplc="030420C8">
      <w:start w:val="1"/>
      <w:numFmt w:val="lowerLetter"/>
      <w:lvlText w:val="(%1)"/>
      <w:lvlJc w:val="left"/>
      <w:pPr>
        <w:ind w:left="380" w:hanging="380"/>
      </w:pPr>
      <w:rPr>
        <w:rFonts w:hint="default"/>
        <w:b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955F6"/>
    <w:multiLevelType w:val="hybridMultilevel"/>
    <w:tmpl w:val="07C21304"/>
    <w:lvl w:ilvl="0" w:tplc="41048A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420FB"/>
    <w:multiLevelType w:val="hybridMultilevel"/>
    <w:tmpl w:val="0ADCE238"/>
    <w:lvl w:ilvl="0" w:tplc="41048A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C0392"/>
    <w:multiLevelType w:val="hybridMultilevel"/>
    <w:tmpl w:val="617AED8C"/>
    <w:lvl w:ilvl="0" w:tplc="41048A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D1E7D"/>
    <w:multiLevelType w:val="hybridMultilevel"/>
    <w:tmpl w:val="CDB63678"/>
    <w:lvl w:ilvl="0" w:tplc="F55212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30DCF"/>
    <w:multiLevelType w:val="hybridMultilevel"/>
    <w:tmpl w:val="8BE67B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0C4CE72">
      <w:start w:val="1"/>
      <w:numFmt w:val="lowerLetter"/>
      <w:lvlText w:val="(%3)"/>
      <w:lvlJc w:val="left"/>
      <w:pPr>
        <w:ind w:left="2360" w:hanging="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E7E4B"/>
    <w:multiLevelType w:val="multilevel"/>
    <w:tmpl w:val="33BAB2D2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4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15"/>
  </w:num>
  <w:num w:numId="10">
    <w:abstractNumId w:val="9"/>
  </w:num>
  <w:num w:numId="11">
    <w:abstractNumId w:val="5"/>
  </w:num>
  <w:num w:numId="12">
    <w:abstractNumId w:val="14"/>
  </w:num>
  <w:num w:numId="13">
    <w:abstractNumId w:val="7"/>
  </w:num>
  <w:num w:numId="14">
    <w:abstractNumId w:val="13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C2BF3"/>
    <w:rsid w:val="00011E8B"/>
    <w:rsid w:val="000506FF"/>
    <w:rsid w:val="00085B2B"/>
    <w:rsid w:val="000B08D8"/>
    <w:rsid w:val="000B7E8D"/>
    <w:rsid w:val="000D1F6E"/>
    <w:rsid w:val="000D7CDD"/>
    <w:rsid w:val="000E1DD7"/>
    <w:rsid w:val="0012110B"/>
    <w:rsid w:val="00123138"/>
    <w:rsid w:val="00123279"/>
    <w:rsid w:val="001260BB"/>
    <w:rsid w:val="00127E01"/>
    <w:rsid w:val="0015156D"/>
    <w:rsid w:val="001546D7"/>
    <w:rsid w:val="00172C4E"/>
    <w:rsid w:val="0017579E"/>
    <w:rsid w:val="001805BB"/>
    <w:rsid w:val="00197743"/>
    <w:rsid w:val="001A5CF2"/>
    <w:rsid w:val="001F3333"/>
    <w:rsid w:val="002257F4"/>
    <w:rsid w:val="00226FDC"/>
    <w:rsid w:val="0023126B"/>
    <w:rsid w:val="00256E6F"/>
    <w:rsid w:val="002646B6"/>
    <w:rsid w:val="00285415"/>
    <w:rsid w:val="00297CDB"/>
    <w:rsid w:val="002A04C0"/>
    <w:rsid w:val="002C2CDB"/>
    <w:rsid w:val="002F7DFB"/>
    <w:rsid w:val="003317E1"/>
    <w:rsid w:val="00337BD1"/>
    <w:rsid w:val="0038373A"/>
    <w:rsid w:val="003A6DD5"/>
    <w:rsid w:val="003C1B38"/>
    <w:rsid w:val="003C2BF3"/>
    <w:rsid w:val="003D31BC"/>
    <w:rsid w:val="003E3057"/>
    <w:rsid w:val="003F49C3"/>
    <w:rsid w:val="0046266D"/>
    <w:rsid w:val="00477F20"/>
    <w:rsid w:val="00481D3D"/>
    <w:rsid w:val="00490B75"/>
    <w:rsid w:val="0049233A"/>
    <w:rsid w:val="004A059F"/>
    <w:rsid w:val="004B1FC2"/>
    <w:rsid w:val="004B724A"/>
    <w:rsid w:val="004C2924"/>
    <w:rsid w:val="004D2A49"/>
    <w:rsid w:val="004D4019"/>
    <w:rsid w:val="004D5A92"/>
    <w:rsid w:val="004D7153"/>
    <w:rsid w:val="004E230A"/>
    <w:rsid w:val="004E39F7"/>
    <w:rsid w:val="004E584F"/>
    <w:rsid w:val="004E6760"/>
    <w:rsid w:val="004F33F3"/>
    <w:rsid w:val="004F5F12"/>
    <w:rsid w:val="00500DE7"/>
    <w:rsid w:val="0053163B"/>
    <w:rsid w:val="00563051"/>
    <w:rsid w:val="00572DE9"/>
    <w:rsid w:val="005B2A07"/>
    <w:rsid w:val="005C392C"/>
    <w:rsid w:val="005C409A"/>
    <w:rsid w:val="006022F1"/>
    <w:rsid w:val="00614556"/>
    <w:rsid w:val="0061605E"/>
    <w:rsid w:val="0064654D"/>
    <w:rsid w:val="006540C3"/>
    <w:rsid w:val="00655DCB"/>
    <w:rsid w:val="00683EC3"/>
    <w:rsid w:val="006905D2"/>
    <w:rsid w:val="00690D62"/>
    <w:rsid w:val="00702302"/>
    <w:rsid w:val="00735F2F"/>
    <w:rsid w:val="007774C0"/>
    <w:rsid w:val="00780471"/>
    <w:rsid w:val="007906ED"/>
    <w:rsid w:val="007A4C3E"/>
    <w:rsid w:val="007B1F2C"/>
    <w:rsid w:val="007B2CA8"/>
    <w:rsid w:val="007C2E7F"/>
    <w:rsid w:val="007F2A50"/>
    <w:rsid w:val="008163DD"/>
    <w:rsid w:val="00816E1F"/>
    <w:rsid w:val="008170FB"/>
    <w:rsid w:val="00817279"/>
    <w:rsid w:val="00826B89"/>
    <w:rsid w:val="00827350"/>
    <w:rsid w:val="00853AD2"/>
    <w:rsid w:val="00856F32"/>
    <w:rsid w:val="008646EB"/>
    <w:rsid w:val="008664F9"/>
    <w:rsid w:val="00867EA4"/>
    <w:rsid w:val="00870912"/>
    <w:rsid w:val="00894246"/>
    <w:rsid w:val="008B0B0E"/>
    <w:rsid w:val="008B1414"/>
    <w:rsid w:val="008E25F0"/>
    <w:rsid w:val="008E4E2D"/>
    <w:rsid w:val="008F54A2"/>
    <w:rsid w:val="008F6973"/>
    <w:rsid w:val="009016DC"/>
    <w:rsid w:val="0092512A"/>
    <w:rsid w:val="00946880"/>
    <w:rsid w:val="00950620"/>
    <w:rsid w:val="00953872"/>
    <w:rsid w:val="009758C0"/>
    <w:rsid w:val="00977146"/>
    <w:rsid w:val="00977796"/>
    <w:rsid w:val="009B2A56"/>
    <w:rsid w:val="009D1C5C"/>
    <w:rsid w:val="009E11EB"/>
    <w:rsid w:val="00A11BB5"/>
    <w:rsid w:val="00A178CA"/>
    <w:rsid w:val="00A208A1"/>
    <w:rsid w:val="00A2421F"/>
    <w:rsid w:val="00A43C25"/>
    <w:rsid w:val="00A57400"/>
    <w:rsid w:val="00A57AAC"/>
    <w:rsid w:val="00A855AA"/>
    <w:rsid w:val="00A86D10"/>
    <w:rsid w:val="00A95B5A"/>
    <w:rsid w:val="00AA01F9"/>
    <w:rsid w:val="00AA367C"/>
    <w:rsid w:val="00AE48B6"/>
    <w:rsid w:val="00AE76E0"/>
    <w:rsid w:val="00AF11FF"/>
    <w:rsid w:val="00AF710F"/>
    <w:rsid w:val="00AF7639"/>
    <w:rsid w:val="00B107CE"/>
    <w:rsid w:val="00B12541"/>
    <w:rsid w:val="00B35320"/>
    <w:rsid w:val="00B364D6"/>
    <w:rsid w:val="00BA21C9"/>
    <w:rsid w:val="00BB3850"/>
    <w:rsid w:val="00BC6FFD"/>
    <w:rsid w:val="00BF7198"/>
    <w:rsid w:val="00C12A8F"/>
    <w:rsid w:val="00C359F3"/>
    <w:rsid w:val="00C4522B"/>
    <w:rsid w:val="00C71136"/>
    <w:rsid w:val="00C81374"/>
    <w:rsid w:val="00CC4ABB"/>
    <w:rsid w:val="00CC7FFE"/>
    <w:rsid w:val="00CF4F45"/>
    <w:rsid w:val="00CF6D07"/>
    <w:rsid w:val="00D01B1E"/>
    <w:rsid w:val="00D03233"/>
    <w:rsid w:val="00D12331"/>
    <w:rsid w:val="00D37A10"/>
    <w:rsid w:val="00D56F1D"/>
    <w:rsid w:val="00D64317"/>
    <w:rsid w:val="00DC2D9D"/>
    <w:rsid w:val="00DE5DD4"/>
    <w:rsid w:val="00DE5F79"/>
    <w:rsid w:val="00E14DC7"/>
    <w:rsid w:val="00E42D0E"/>
    <w:rsid w:val="00E76C85"/>
    <w:rsid w:val="00E87368"/>
    <w:rsid w:val="00E923B2"/>
    <w:rsid w:val="00E9445F"/>
    <w:rsid w:val="00ED6851"/>
    <w:rsid w:val="00EE04F2"/>
    <w:rsid w:val="00F02B29"/>
    <w:rsid w:val="00F1466B"/>
    <w:rsid w:val="00F16A85"/>
    <w:rsid w:val="00F71106"/>
    <w:rsid w:val="00FA6D36"/>
    <w:rsid w:val="00FC3C0D"/>
    <w:rsid w:val="00FE06F7"/>
    <w:rsid w:val="00FE3A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7E4CAD"/>
  <w15:docId w15:val="{A44895F0-C025-41FA-A9FB-916980A5C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B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56F32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F32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F32"/>
    <w:rPr>
      <w:rFonts w:ascii="Lucida Grande" w:hAnsi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14D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byu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Lignell</dc:creator>
  <cp:keywords/>
  <cp:lastModifiedBy>John Hedengren</cp:lastModifiedBy>
  <cp:revision>92</cp:revision>
  <cp:lastPrinted>2014-09-22T22:55:00Z</cp:lastPrinted>
  <dcterms:created xsi:type="dcterms:W3CDTF">2009-09-23T13:58:00Z</dcterms:created>
  <dcterms:modified xsi:type="dcterms:W3CDTF">2015-10-06T05:24:00Z</dcterms:modified>
</cp:coreProperties>
</file>